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526fe0a47459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15075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GRAČANI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2.064.670,92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2.351.503,24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1.943.674,20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2.407.072,87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55.569,63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56.398,92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53.140,82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56.398,92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53.140,82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108.710,45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odnosi se na novi način knjiženja prema pravilniku u proračunskom računovodstvu i ukidanju konta 193 gdje plaću za 12 mjesec prikazujemo kao rashod u 2025, dok će prihod biti ostvaren u 2026.</w:t>
      </w:r>
    </w:p>
    <w:p>
      <w:r>
        <w:t xml:space="preserve">Manjak prihoda od nefinancijske imovine odnosi se na nabavu udžbenika, audio opreme, ineraktivnih zaslona i lektirnih naslova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1.375.178,46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1.510.255,94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109,8</w:t>
            </w:r>
          </w:p>
        </w:tc>
      </w:tr>
    </w:tbl>
    <w:p>
      <w:pPr>
        <w:spacing w:before="0" w:after="0"/>
      </w:pPr>
    </w:p>
    <w:p>
      <w:r>
        <w:t xml:space="preserve">Iznos u tekućem razdoblju veći je zbog povećanja osnovice za obračun plaća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13.087,20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21,8</w:t>
            </w:r>
          </w:p>
        </w:tc>
      </w:tr>
    </w:tbl>
    <w:p>
      <w:pPr>
        <w:spacing w:before="0" w:after="0"/>
      </w:pPr>
    </w:p>
    <w:p>
      <w:r>
        <w:t xml:space="preserve">u utekućem razdoblju je zaprimljen ostatak sredstava od erasmus projekta iz prethodnog razdoblja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26.159,10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9.465,48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36,2</w:t>
            </w:r>
          </w:p>
        </w:tc>
      </w:tr>
    </w:tbl>
    <w:p>
      <w:pPr>
        <w:spacing w:before="0" w:after="0"/>
      </w:pPr>
    </w:p>
    <w:p>
      <w:r>
        <w:t xml:space="preserve">Iznos u tekućem razdoblju je manji zbog manjeg broja korisnika školskog prostora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4.122,17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tekućem razdoblju nije bilo donacija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548.164,68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723.206,57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131,9</w:t>
            </w:r>
          </w:p>
        </w:tc>
      </w:tr>
    </w:tbl>
    <w:p>
      <w:pPr>
        <w:spacing w:before="0" w:after="0"/>
      </w:pPr>
    </w:p>
    <w:p>
      <w:r>
        <w:t xml:space="preserve">Iznos u tekućem razdoblju je veći zbog povečanja osnovice za obračun plaća, povećanja satnice pomoćnika u nastavi, povećanja iznosa materijalnih troškova, zbog većeg broja refundacija za tekuće i investicijsko održavanje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1.254.569,45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1.611.253,72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128,4</w:t>
            </w:r>
          </w:p>
        </w:tc>
      </w:tr>
    </w:tbl>
    <w:p>
      <w:pPr>
        <w:spacing w:before="0" w:after="0"/>
      </w:pPr>
    </w:p>
    <w:p>
      <w:r>
        <w:t xml:space="preserve">Iznos u tekućem razdoblju je veči zbog povećanaj osnovice za obračun plaća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214.999,31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272.121,81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126,6</w:t>
            </w:r>
          </w:p>
        </w:tc>
      </w:tr>
    </w:tbl>
    <w:p>
      <w:pPr>
        <w:spacing w:before="0" w:after="0"/>
      </w:pPr>
    </w:p>
    <w:p>
      <w:r>
        <w:t xml:space="preserve">iznos je veći jer su povećane plaće zaposlenika a samim time i izdvajanja za obvezno zdravstveno osiguranje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20.886,20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29.421,14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140,9</w:t>
            </w:r>
          </w:p>
        </w:tc>
      </w:tr>
    </w:tbl>
    <w:p>
      <w:pPr>
        <w:spacing w:before="0" w:after="0"/>
      </w:pPr>
    </w:p>
    <w:p>
      <w:r>
        <w:t xml:space="preserve">Iznos je veći zbog večeg broja zaposlenika i presljenja nekih djelatnika u okolicu zagreba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9.570,97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4.544,05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47,5</w:t>
            </w:r>
          </w:p>
        </w:tc>
      </w:tr>
    </w:tbl>
    <w:p>
      <w:pPr>
        <w:spacing w:before="0" w:after="0"/>
      </w:pPr>
    </w:p>
    <w:p>
      <w:r>
        <w:t xml:space="preserve">Iznos je manji zbog manjeg broja odlazaka na stručna usavršavanja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9.624,96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12,3</w:t>
            </w:r>
          </w:p>
        </w:tc>
      </w:tr>
    </w:tbl>
    <w:p>
      <w:pPr>
        <w:spacing w:before="0" w:after="0"/>
      </w:pPr>
    </w:p>
    <w:p>
      <w:r>
        <w:t xml:space="preserve">U prethodnom razdoblju nabavljen je sitan inventar za opremanje dvorane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36.612,72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71.607,87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195,6</w:t>
            </w:r>
          </w:p>
        </w:tc>
      </w:tr>
    </w:tbl>
    <w:p>
      <w:pPr>
        <w:spacing w:before="0" w:after="0"/>
      </w:pPr>
    </w:p>
    <w:p>
      <w:r>
        <w:t xml:space="preserve">Iznos u tekućem razodblju je veči zbog uređenja dodatne učionice i preseljenja knjižnice, sanacija puknuća vodovodne cijevi, radovi na sustavu grijanja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15.925,64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2125,2</w:t>
            </w:r>
          </w:p>
        </w:tc>
      </w:tr>
    </w:tbl>
    <w:p>
      <w:pPr>
        <w:spacing w:before="0" w:after="0"/>
      </w:pPr>
    </w:p>
    <w:p>
      <w:r>
        <w:t xml:space="preserve">Iznos je veći zbog korištenja usluga zaštitarske službe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</w:t>
            </w:r>
          </w:p>
        </w:tc>
      </w:tr>
    </w:tbl>
    <w:p>
      <w:pPr>
        <w:spacing w:before="0" w:after="0"/>
      </w:pPr>
    </w:p>
    <w:p>
      <w:r>
        <w:t xml:space="preserve">Iznos u prethodnom razdoblju je bio veći zbog tužbi zaposlenika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tekućoj godini nije nabavljana sportska i glazbena oprema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59.868,58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105.133,58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175,6</w:t>
            </w:r>
          </w:p>
        </w:tc>
      </w:tr>
    </w:tbl>
    <w:p>
      <w:pPr>
        <w:spacing w:before="0" w:after="0"/>
      </w:pPr>
    </w:p>
    <w:p>
      <w:r>
        <w:t xml:space="preserve">iznos u tekućem razdoblju je veći zbog uplate akontacije od strane gradskog ureda za plaće za 12 mjesec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175.718,87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Iznosa u prethodnom razdoblju nije bilo zbog nadopune načina knjiženja u pravilniku o proračunskom računovodstvu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155.543,15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Iznosa u tekućem razdoblju nema zbog ukidanja konta 193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Obračunate pomoći iz inozemstva i od subjekata unutar općeg proračuna (šifre 9631 do 9638)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175.718,87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Iznosa u prethodnom razdoblju nije bilo zbog nadopune načina knjiženja u pravilniku o proračunskom računovodstvu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8.676,14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je veći zbog neuplaćenih sredstava od strane osnivača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3.585,01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Iznosa u prethodnom razdoblju nije bilo zbog uvođenja konta 27612 od 1.1.2025.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11.509,81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korekciju rezultata zbog knjigovodstvenih pogrešaka iz prethodnih godina.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36.758,71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amortizaciju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 se odnosi na prijenosno računalo koje smo dobili od Grada Zagreba.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8.676,14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račune koji čekaju uplatu sredstava od strane osnivača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a) Prekoračenje 1 do 60 dana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D232A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8.676,14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građevinske radove na sanaciji vodovodnih cijevi za koje se čeka refundacija od strane osnivača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3.585,01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obveze za povrat u proračun - bolovanja na teret HZZO-a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Iznosi prihoda odnose se na ostatak uplate koji se dobije po završetku projekta. Iznosi rashoda odnose se na sredstva koja su odobrena u sklopu projekta a isplaćuju se po završetku istog. Erasmus projekt je završio u 2025. godini.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b4db1268134252" /></Relationships>
</file>